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C2" w:rsidRPr="00F77AC2" w:rsidRDefault="00F77AC2" w:rsidP="00F77AC2">
      <w:pPr>
        <w:shd w:val="clear" w:color="auto" w:fill="FFFFFF" w:themeFill="background1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77A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Основные этапы развития педагогики в России</w:t>
      </w:r>
    </w:p>
    <w:p w:rsid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России принадлежит особое место среди великих культур Запада и Востока. По многочисленным, но отрывочным историческим сведениям, дошедшим до нашего времени, Древняя Русь знала как периоды относительно высокой просвещенности, так и времена тьмы и невежества. В этом плане развитие русской культуры и образования во многом похоже на развитие системы образования западной цивилизации. По некоторым данным, письменность у славян существовала еще в период язычества. В «Сказании о письменах» черноризца </w:t>
      </w:r>
      <w:proofErr w:type="gram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Храбра</w:t>
      </w:r>
      <w:proofErr w:type="gram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созданном в IX в., говорится, что славяне еще до принятия ими христианства «</w:t>
      </w:r>
      <w:proofErr w:type="spell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читаху</w:t>
      </w:r>
      <w:proofErr w:type="spell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гадаху</w:t>
      </w:r>
      <w:proofErr w:type="spell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», а также владели «черты и резы», т.е. письменностью</w:t>
      </w:r>
      <w:r w:rsidRPr="00F77AC2">
        <w:rPr>
          <w:rFonts w:ascii="Palatino Linotype" w:eastAsia="Times New Roman" w:hAnsi="Palatino Linotype" w:cs="Times New Roman"/>
          <w:color w:val="000000"/>
          <w:sz w:val="20"/>
          <w:szCs w:val="20"/>
        </w:rPr>
        <w:t>.</w:t>
      </w:r>
    </w:p>
    <w:p w:rsid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</w:p>
    <w:p w:rsidR="00F77AC2" w:rsidRPr="00F77AC2" w:rsidRDefault="00F77AC2" w:rsidP="00F77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3664" cy="2037827"/>
            <wp:effectExtent l="19050" t="0" r="2836" b="0"/>
            <wp:docPr id="1" name="Рисунок 1" descr="Схема расположения эпох на временной шк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расположения эпох на временной шкал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362" cy="204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</w:rPr>
        <w:t>Рис. 1.</w:t>
      </w:r>
      <w:r w:rsidRPr="00F77AC2">
        <w:rPr>
          <w:rFonts w:ascii="Palatino Linotype" w:eastAsia="Times New Roman" w:hAnsi="Palatino Linotype" w:cs="Times New Roman"/>
          <w:b/>
          <w:bCs/>
          <w:color w:val="000000"/>
          <w:sz w:val="20"/>
        </w:rPr>
        <w:t>Схема расположения эпох на временной шкале (разрывы временной шкалы показывают большие разрывы между эпохами). Ввиду того, что на шкале представлены огромные временные интервалы, разные участки ее изображены в разных масштабах</w:t>
      </w:r>
    </w:p>
    <w:p w:rsid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В Древней и средневековой Руси знание азбуки было краеугольным камнем обучения: «Аз да буки — основа науки». Азбучные таблички и берестяные грамоты (тексты, написанные на бересте — коре берез) были прообразами букварей. Берестяные грамоты использовались длительное время жителями русских поселений для самых разных целей: писем, жалоб, счетов, платежных записей (рис. 2).</w:t>
      </w:r>
    </w:p>
    <w:p w:rsidR="00F77AC2" w:rsidRPr="00F77AC2" w:rsidRDefault="00F77AC2" w:rsidP="00F7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76925" cy="2565981"/>
            <wp:effectExtent l="19050" t="0" r="9525" b="0"/>
            <wp:docPr id="2" name="Рисунок 2" descr="Тексты средневековой 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ксты средневековой Рус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56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F77AC2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</w:rPr>
        <w:t>Рис.</w:t>
      </w:r>
      <w:r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</w:rPr>
        <w:t xml:space="preserve">2 </w:t>
      </w:r>
      <w:r w:rsidRPr="00F77AC2">
        <w:rPr>
          <w:rFonts w:ascii="Palatino Linotype" w:eastAsia="Times New Roman" w:hAnsi="Palatino Linotype" w:cs="Times New Roman"/>
          <w:color w:val="000000"/>
          <w:sz w:val="20"/>
          <w:szCs w:val="20"/>
        </w:rPr>
        <w:t>Тексты средневековой Руси: </w:t>
      </w:r>
      <w:r w:rsidRPr="00F77AC2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</w:rPr>
        <w:t>а</w:t>
      </w:r>
      <w:r w:rsidRPr="00F77AC2">
        <w:rPr>
          <w:rFonts w:ascii="Palatino Linotype" w:eastAsia="Times New Roman" w:hAnsi="Palatino Linotype" w:cs="Times New Roman"/>
          <w:color w:val="000000"/>
          <w:sz w:val="20"/>
          <w:szCs w:val="20"/>
        </w:rPr>
        <w:t> — азбука на дощечке; </w:t>
      </w:r>
      <w:r w:rsidRPr="00F77AC2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</w:rPr>
        <w:t>б</w:t>
      </w:r>
      <w:r w:rsidRPr="00F77AC2">
        <w:rPr>
          <w:rFonts w:ascii="Palatino Linotype" w:eastAsia="Times New Roman" w:hAnsi="Palatino Linotype" w:cs="Times New Roman"/>
          <w:color w:val="000000"/>
          <w:sz w:val="20"/>
          <w:szCs w:val="20"/>
        </w:rPr>
        <w:t> — берестяная грамота «Жалоба прогнанной мужем жены» (1160-1180 гг.)</w:t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те</w:t>
      </w:r>
      <w:proofErr w:type="gram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кст дл</w:t>
      </w:r>
      <w:proofErr w:type="gram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обучения грамоте, как говорят исторические документы, был создан в 894 г. в виде стихов и загадок и содержался в книге под названием «Учительское Евангелие». Специальные тексты, знакомившие детей с письменностью и грамматикой, получили распространение во 2-й половине XV </w:t>
      </w:r>
      <w:proofErr w:type="gram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известном древнерусском литературном памятнике — летописи «Повесть временных лет» упоминается, что в 988 г. князь Владимир велел «собирать у лучших людей детей и отдавать их в обучение книжное». Там же рассказывается о том, что князь Ярослав Мудрый (978-1054) «...к книгам проявлял усердие, часто читая их и ночью и днем. И собирал летописцев множество, которые переводили с </w:t>
      </w:r>
      <w:proofErr w:type="gram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греческого</w:t>
      </w:r>
      <w:proofErr w:type="gram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славянский язык. И написали они много книг, по которым верующие учатся и наслаждаются учением Божественным». Далее говорится: </w:t>
      </w:r>
      <w:r w:rsidRPr="00F77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«...</w:t>
      </w:r>
      <w:proofErr w:type="gramStart"/>
      <w:r w:rsidRPr="00F77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велика</w:t>
      </w:r>
      <w:proofErr w:type="gramEnd"/>
      <w:r w:rsidRPr="00F77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бывает польза от учения книжного; книги наставляют и научают нас пути покаяния, ибо мудрость обретаем и воздержание в словах книжных. Это</w:t>
      </w: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 — </w:t>
      </w:r>
      <w:r w:rsidRPr="00F77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реки, </w:t>
      </w:r>
      <w:proofErr w:type="spellStart"/>
      <w:r w:rsidRPr="00F77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напоящие</w:t>
      </w:r>
      <w:proofErr w:type="spellEnd"/>
      <w:r w:rsidRPr="00F77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Вселенную, это источники мудрости, в книгах ведь </w:t>
      </w:r>
      <w:proofErr w:type="gramStart"/>
      <w:r w:rsidRPr="00F77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неизмеримая</w:t>
      </w:r>
      <w:proofErr w:type="gramEnd"/>
      <w:r w:rsidRPr="00F77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77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гчубина</w:t>
      </w:r>
      <w:proofErr w:type="spellEnd"/>
      <w:r w:rsidRPr="00F77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 ими мы в печали утешаемся»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X в. грамотность на Руси начала активно и быстро распространяться. Кстати говоря, первое в Европе женское училище, в котором «молодых девиц обучали грамоте и полезным ремеслам», было открыто на Руси в 1086 г.</w:t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Х1-ХШ вв. не только чтение книг, но и их рукописное </w:t>
      </w:r>
      <w:proofErr w:type="gram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копирование</w:t>
      </w:r>
      <w:proofErr w:type="gram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распространение было делом монахов. Монастыри за свой счет содержали школы, учителей, библиотеки. В те времена педагогика понималась как «душевное строение», воспитанию уделялось большое внимание. При этом педагогика отражала реальные противоречия процесса воспитания. С одной </w:t>
      </w: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стороны, имело место строгое утверждение власти родителей и воспитателей над ребенком, с другой — сами воспитатели понимали силу любви, ласки, разума</w:t>
      </w:r>
      <w:r w:rsidRPr="00F77AC2">
        <w:rPr>
          <w:rFonts w:ascii="Palatino Linotype" w:eastAsia="Times New Roman" w:hAnsi="Palatino Linotype" w:cs="Times New Roman"/>
          <w:color w:val="000000"/>
          <w:sz w:val="20"/>
          <w:szCs w:val="20"/>
        </w:rPr>
        <w:t>.</w:t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Обе эти тенденции отражены в пословицах тех лет. Как известно, педагогическая теория и практика исходили тогда из положений типа «Бьют не ради мучения, а ради учения», «Родительские побои дают здоровье», «Кулаком в спину — поученье сыну». Вместе с тем говорили и так</w:t>
      </w:r>
      <w:proofErr w:type="gram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«Кулаком ума не вобьешь, а выбьешь», «Детей наказывают стыдом, а не кнутом». Такими же противоречивыми были и взгляды на роль принуждения. Выражения типа «Не все таской, но и лаской» определяли воспитательные каноны одновременно с другими тезисами: «Баловство родит воровство» и т.п.</w:t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В 1551 г. царь Иван Грозный, выступая на церковном Соборе, говорил о необходимости принятия мер по распространению просвещения среди населения. Первый печатный букварь был издан Иваном Федоровым в 1574 г. и назывался «Азбука». Он состоял из 8 страниц азбуки (сам букварь), сокращенной грамматики, начальных правил обучения счету и молитвы. Алфавит располагался в прямом и обратном порядке, а также вразбивку и по вертикали. Это позволяло развивать моторную и зрительную память ученика. В послесловии детям напоминалось, что знания, честность, послушание и трудолюбие являютс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украшением человека (рис. 3</w:t>
      </w: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1634 г. в Москве был издан другой букварь, составленный Василием Бурцевым и «прочими </w:t>
      </w:r>
      <w:proofErr w:type="spell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соработниками</w:t>
      </w:r>
      <w:proofErr w:type="spell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proofErr w:type="gram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Букварь имел название «Начальное учение человеком, хотящим </w:t>
      </w:r>
      <w:proofErr w:type="spell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разумети</w:t>
      </w:r>
      <w:proofErr w:type="spell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божественного писания» и содержал буквы, числа, знаки, заповеди, притчи, наставления.</w:t>
      </w:r>
      <w:proofErr w:type="gramEnd"/>
    </w:p>
    <w:p w:rsidR="00F77AC2" w:rsidRPr="00F77AC2" w:rsidRDefault="00F77AC2" w:rsidP="00F7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9275" cy="2628900"/>
            <wp:effectExtent l="19050" t="0" r="9525" b="0"/>
            <wp:docPr id="3" name="Рисунок 3" descr="Страницы первого печатного букваря Ивана Федорова (слева — заглавная, в центре — страница с алфавитом, справа — с образцами спряжения глаголов), 1574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аницы первого печатного букваря Ивана Федорова (слева — заглавная, в центре — страница с алфавитом, справа — с образцами спряжения глаголов), 1574 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>Рис. 3</w:t>
      </w:r>
      <w:r w:rsidRPr="00F77AC2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F77AC2">
        <w:rPr>
          <w:rFonts w:ascii="Palatino Linotype" w:eastAsia="Times New Roman" w:hAnsi="Palatino Linotype" w:cs="Times New Roman"/>
          <w:b/>
          <w:bCs/>
          <w:color w:val="000000"/>
          <w:sz w:val="20"/>
        </w:rPr>
        <w:t>Страницы первого печатного букваря Ивана Федорова (слева — заглавная, в центре — страница с алфавитом, справа — с образцами спряжения глаголов), 1574 г.</w:t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Наиболее устоявшиеся положения российской педагогики XV- XVI вв. вошли в своеобразный кодекс (сборник правил, касающихся буквально всех сторон русской жизни того времени) — книгу под названием «Домострой». В основе «Домостроя» лежали положения, взятые из более ранних педагогических сочинений XIV-XV вв. Возможно, у него были и древнерусские источники, например, «Поучение», написанное великим князем киевским Владимиром Мономахом (1053-1125). Мономах считал, что три добрых дела дают победу над врагом и избавление от грехов: покаяние, слезы и милосердие.</w:t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Основное содержание «Домостроя» посвящено вопросам воспитания, о чем красноречиво говорят названия глав «О праведном житии», «О неправедном житии». Знаменитое положение «Домостроя» гласит: </w:t>
      </w:r>
      <w:proofErr w:type="gram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«Чада (т.е. дети.</w:t>
      </w:r>
      <w:proofErr w:type="gram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r w:rsidRPr="00F77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В.К.)...</w:t>
      </w: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любите отца своего и матерь свою и послушайте их и </w:t>
      </w:r>
      <w:proofErr w:type="spell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повинуитеся</w:t>
      </w:r>
      <w:proofErr w:type="spell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по </w:t>
      </w:r>
      <w:proofErr w:type="spell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Бозе</w:t>
      </w:r>
      <w:proofErr w:type="spell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всем, и старость их чтите, и немощь их и скорбь всякую...»</w:t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XVIII </w:t>
      </w:r>
      <w:proofErr w:type="gram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ознаменовался </w:t>
      </w:r>
      <w:proofErr w:type="gram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выходом</w:t>
      </w:r>
      <w:proofErr w:type="gram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другой книги, ставшей, подобно «Домострою», символом своего времени. Это книга вышла в 1717 г. под названием «Юности честное зерцало», а более полно — «Юности честное зерцало, или Показание к житейскому обхождению, собранн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от разных авторов» (рис. 4</w:t>
      </w: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77AC2" w:rsidRPr="00F77AC2" w:rsidRDefault="00F77AC2" w:rsidP="00F7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4438650"/>
            <wp:effectExtent l="19050" t="0" r="0" b="0"/>
            <wp:docPr id="4" name="Рисунок 4" descr="Первая страница книги «Юности честное зерцало, или Показание к житейскому обхождению, собранное от разных авторов» (17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вая страница книги «Юности честное зерцало, или Показание к житейскому обхождению, собранное от разных авторов» (1717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</w:rPr>
        <w:lastRenderedPageBreak/>
        <w:t>Рис. 4</w:t>
      </w:r>
      <w:proofErr w:type="gramStart"/>
      <w:r w:rsidRPr="00F77AC2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</w:rPr>
        <w:t> </w:t>
      </w:r>
      <w:r w:rsidRPr="00F77AC2">
        <w:rPr>
          <w:rFonts w:ascii="Palatino Linotype" w:eastAsia="Times New Roman" w:hAnsi="Palatino Linotype" w:cs="Times New Roman"/>
          <w:b/>
          <w:bCs/>
          <w:color w:val="000000"/>
          <w:sz w:val="20"/>
        </w:rPr>
        <w:t>П</w:t>
      </w:r>
      <w:proofErr w:type="gramEnd"/>
      <w:r w:rsidRPr="00F77AC2">
        <w:rPr>
          <w:rFonts w:ascii="Palatino Linotype" w:eastAsia="Times New Roman" w:hAnsi="Palatino Linotype" w:cs="Times New Roman"/>
          <w:b/>
          <w:bCs/>
          <w:color w:val="000000"/>
          <w:sz w:val="20"/>
        </w:rPr>
        <w:t>ервая страница книги «Юности честное зерцало, или Показание к житейскому обхождению, собранное от разных авторов» (1717)</w:t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Издание было подготовлено по указанию Петра I на основе переводов текстов западноевропейских авторов. Среди его источников была книга Эразма </w:t>
      </w:r>
      <w:proofErr w:type="spell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Роттердамского</w:t>
      </w:r>
      <w:proofErr w:type="spell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«Гражданство обычаев детских», которая включала в себя 164 вопроса и ответа, касавшихся внешнего вида молодых людей: мимики, жестикуляции, осанки, правил ношения одежды, правил гигиены, правил поведения в церкви, учебном заведении, во время еды, в гостях, во время беседы, игры.</w:t>
      </w:r>
    </w:p>
    <w:p w:rsidR="00F77AC2" w:rsidRPr="00F77AC2" w:rsidRDefault="00F77AC2" w:rsidP="00F77AC2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интересно, что содержащиеся в книге нормы поведения в основном остаются принятыми и в наши дни. Так, юноша (как и в наши дни) должен надеяться на себя и уважать других, владеть иностранными языками, почитать родителей, быть вежливым, смелым, отважным. Он должен избегать пьянства, мотовства, злословия, грубости. Требования к девушкам более сложны. </w:t>
      </w:r>
      <w:proofErr w:type="gramStart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>Они должны молиться, быть трудолюбивыми, приветливыми, милосердными, стыдливыми, избегать смеха, болтовни, кокетства, хранить телесную чистоту, быть трезвыми, бережливыми, верными.</w:t>
      </w:r>
      <w:proofErr w:type="gramEnd"/>
      <w:r w:rsidRPr="00F7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Девушка должна вести себя скромно и смиренно, особенно на людях.</w:t>
      </w:r>
    </w:p>
    <w:p w:rsidR="001A048F" w:rsidRDefault="001A048F"/>
    <w:sectPr w:rsidR="001A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AC2"/>
    <w:rsid w:val="001A048F"/>
    <w:rsid w:val="00F7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A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7A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1069</Words>
  <Characters>6095</Characters>
  <Application>Microsoft Office Word</Application>
  <DocSecurity>0</DocSecurity>
  <Lines>50</Lines>
  <Paragraphs>14</Paragraphs>
  <ScaleCrop>false</ScaleCrop>
  <Company>Microsoft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2020-04-07T15:50:00Z</dcterms:created>
  <dcterms:modified xsi:type="dcterms:W3CDTF">2020-04-07T15:59:00Z</dcterms:modified>
</cp:coreProperties>
</file>