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Вольфган</w:t>
      </w:r>
      <w:proofErr w:type="spellEnd"/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Амадей Моцарт (1756–1791)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Вольфган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Амадей Моцарт. «Реквием» Моцарта – не только одно из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лучших творений его гениального автора, – оно относится к шедеврам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мировой музыкальной классики. Все страницы этого сочинения – от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нежных до трагических – глубоко человечны. «Реквием» Моцарта отличается необычайной строгостью стиля, сдержанностью эмоций, лаконичностью и чистотой выражения самых тонких душевных переживаний. Б. В. Асафьев так определил достоинства «Реквиема»: «Трагически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суровый, но в то же время ясный и стройный облик и тон «Реквиема»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ставит его высоко над многими произведениями того же рода, утопающими в роскошной неге, чувственной прелести звучания или в сентиментально элегической настроенности. Этот «Реквием – уникум единый,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неповторимый, рожденный из скорби творца его, смотревшего до сих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пор смело и радостно в глаза солнцу».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 Таинственные обстоятельства,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связанные с заказом сочинения, как и фатальное предчувствие композитора близости своей кончины, усугубляют трагическое величие этой музыки, восприятие которого сливается у нас с трагедией А. Пушкина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«Моцарт и Сальери». «Какая глубина! Какая смелость и какая стройность! Это Моцарт, который «умел быть равно даровитым и великим в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коротком жизнерадостном венском вальсе и в сложной симфонии для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знатоков»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t>«Реквием» был завершен любимым учеником композитора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Зюсмайером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и впервые исполнен в Вене в 1793 году. Первое исполнение в России состоялось в 1802 году в Москве, позже – в Петербурге.</w:t>
      </w:r>
    </w:p>
    <w:p w:rsid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t>Несмотря на эмоциональную сдержанность «Реквием» воспринимается с огромным волнением благодаря мелодической выразительности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каждого номера. 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t>Основную роль в «Реквиеме» играет хор. Из двенадцати номеров девять исполняются хором, три – квартетом солистов. Широкое применение находит в произведении полифония. В «Реквиеме» –три фуги: каждая из них проходит дважды.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Recviem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eternam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(Покой вечный). Первый номер «Реквиема» Моцарта в отличие от соответствующих номеров других реквиемов состоит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из двух относительно самостоятельных и почти одинаковых по размеру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частей: 1-я часть («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Recviem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eternam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») имеет смешанный склад письма: 2-я («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Kyrie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eleison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») представляет двойную фугу. В оркестровом вступлении сосредоточенного характера заключено ядро темы, развертывающееся в первом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стреттном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вступлении хора. В хоровом звучании тема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приобретает черты мужественности. Интересен эпизод гармонического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склада («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lux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perpetua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luceat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«и свет им вечности воссияет»). Светлый,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блестящий B-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, компактные хоровые аккорды, постепенно повышающаяся тесситура, вступления голосов на дробленые доли, подхватываемые оркестром – все это способствует созданию яркого, неповторимого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образа. После короткой интермедии в партии соло-сопрано звучит фраза,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в основе которой лежит старинная хоральная мелодия («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ecsilis</w:t>
      </w:r>
      <w:proofErr w:type="spellEnd"/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»). Она прерывается имитационными возгласами хора («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ecsaudi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–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), отмеченные волевым характером. Этому способствует и сопровождение, построенное на фанфарных интонациях с очень острым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ритмическим рисунком. Заканчивается эпизод в тональности субдоминанты (соль-минор). Наступает заключительный эпизод 1-й части – фугато, в котором сочетаются две темы (1-я – начальная, из вступления и 2-я подвижная из интермедии). Фугато имеет разработочный характер и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завершается хоралом с остановкой на доминанте. Второй раздел – двойная фуга. Она написана с подлинным полифоническим мастерством. В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отличие от большинства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Kyrie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», где темы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Kyrie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eleison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eleison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излагаются раздельно («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Kyrie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из «Си-минорной мессы» Баха,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«Нельсон-мессы» Гайдна), здесь они излагаются вместе, образуя двойную фугу. Однако в эмоциональной трактовке этих тем сохраняются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известные традиции: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Kyrie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eleison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– суровая, строгая, величественная,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тема.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eleison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– подвижная, более лирическая и светлая. В основе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Kyrie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eleison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лежит уже ранее встречавшаяся тема фуги с-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из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«Мессии» </w:t>
      </w:r>
      <w:r w:rsidRPr="00B330DA">
        <w:rPr>
          <w:rFonts w:ascii="Times New Roman" w:hAnsi="Times New Roman" w:cs="Times New Roman"/>
          <w:sz w:val="28"/>
          <w:szCs w:val="28"/>
        </w:rPr>
        <w:lastRenderedPageBreak/>
        <w:t xml:space="preserve">Генделя, а также фуги из «Хорошо темперированного </w:t>
      </w:r>
      <w:proofErr w:type="spellStart"/>
      <w:proofErr w:type="gramStart"/>
      <w:r w:rsidRPr="00B330DA">
        <w:rPr>
          <w:rFonts w:ascii="Times New Roman" w:hAnsi="Times New Roman" w:cs="Times New Roman"/>
          <w:sz w:val="28"/>
          <w:szCs w:val="28"/>
        </w:rPr>
        <w:t>клави-ра</w:t>
      </w:r>
      <w:proofErr w:type="spellEnd"/>
      <w:proofErr w:type="gramEnd"/>
      <w:r w:rsidRPr="00B330DA">
        <w:rPr>
          <w:rFonts w:ascii="Times New Roman" w:hAnsi="Times New Roman" w:cs="Times New Roman"/>
          <w:sz w:val="28"/>
          <w:szCs w:val="28"/>
        </w:rPr>
        <w:t>» Баха (том второй) – факт связи Моцарта с его великими предшественниками. В этой теме чрезвычайно существенен выразительный ход на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уменьшенную септиму вниз (си-бемоль-до-диез). Фуга – трехчастна. В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экспозиции дается последовательное проведение тем, в разработке –вначале в параллельном мажоре, затем в миноре (Фа-мажор, соль-минор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и до-минор). Последнее проведение в тональности B-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– яркой и блестящей, неожиданной после с-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, в звучании высоких светлых голосов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(сопрано и тенора) и высокой тесситуре придает особую значительность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темам.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Стреттное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проведение второй темы </w:t>
      </w:r>
      <w:proofErr w:type="gramStart"/>
      <w:r w:rsidRPr="00B330DA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B330DA">
        <w:rPr>
          <w:rFonts w:ascii="Times New Roman" w:hAnsi="Times New Roman" w:cs="Times New Roman"/>
          <w:sz w:val="28"/>
          <w:szCs w:val="28"/>
        </w:rPr>
        <w:t xml:space="preserve"> и ее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хроматизация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усиливают остроту и драматическую напряженность, которая в репризе получает наибольшее выражение. Это подчеркивается сжатостью,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лаконичностью формы, ритмическим изменением первой темы (синкопированное начало) и целым рядом приемов хорового изложения: так,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например, первое проведение тем в репризе дано в крайних голосах – 1-я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тема в партии басов, 2-я – в партии сопрано, причем в наиболее высокой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тесситуре (кульминация). Второе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стреттное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хроматически</w:t>
      </w:r>
      <w:proofErr w:type="spellEnd"/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измененной второй темы, снова в высокой тесситуре в партии сопрано и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 завершающим звучанием хора на уменьшенном вводном септаккорде,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способствует созданию предельно драматического накала. Последующая, редкая по силе выразительности пауза, еще более усиливает это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состояние. Короткое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двухтактовое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аккордовое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каденционное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в темпе «Адажио» звучит как обобщающий образ величия и страданий.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t>Характерен заключительный аккорд номера – трезвучие без терции минора, в котором заключен просветляющий вывод. Таким образом, фуга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является финалом сложного драматургического развития, которое начинается с фугато, затем два канонических варианта на хоральную мелодию и, наконец, двойное фугато, непосредственно подводящее к двойной фуге. О.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Коловский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отмечает «поразительную логику формообразования на основе тематического единства и фугированного развития».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lastRenderedPageBreak/>
        <w:t>Особенность полифонического развития состоит в том, что гомофония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не утрачивает своих «режиссирующих» функций даже в такой совершенной с точки зрения контрапункте, как эта знаменитая фуга из «Реквиема»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Lacrimosa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(Слезный) – один из самых совершенных образцов чистой, светлой человеческой скорби, выраженной в музыке. Огромную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роль играет оркестровое сопровождение, сохраняющее на протяжении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всего произведения единый образ. Несмотря на гармонический </w:t>
      </w:r>
      <w:proofErr w:type="gramStart"/>
      <w:r w:rsidRPr="00B330DA">
        <w:rPr>
          <w:rFonts w:ascii="Times New Roman" w:hAnsi="Times New Roman" w:cs="Times New Roman"/>
          <w:sz w:val="28"/>
          <w:szCs w:val="28"/>
        </w:rPr>
        <w:t>склад</w:t>
      </w:r>
      <w:r w:rsidR="00B330DA">
        <w:rPr>
          <w:rFonts w:ascii="Times New Roman" w:hAnsi="Times New Roman" w:cs="Times New Roman"/>
          <w:sz w:val="28"/>
          <w:szCs w:val="28"/>
        </w:rPr>
        <w:t xml:space="preserve">  </w:t>
      </w:r>
      <w:r w:rsidRPr="00B330DA">
        <w:rPr>
          <w:rFonts w:ascii="Times New Roman" w:hAnsi="Times New Roman" w:cs="Times New Roman"/>
          <w:sz w:val="28"/>
          <w:szCs w:val="28"/>
        </w:rPr>
        <w:t>изложения</w:t>
      </w:r>
      <w:proofErr w:type="gramEnd"/>
      <w:r w:rsidRPr="00B330DA">
        <w:rPr>
          <w:rFonts w:ascii="Times New Roman" w:hAnsi="Times New Roman" w:cs="Times New Roman"/>
          <w:sz w:val="28"/>
          <w:szCs w:val="28"/>
        </w:rPr>
        <w:t>, каждый хоровой голос имеет ясно выраженную мелодическую завершенность. Особенно выразительна партия сопрано. Интонационную основу темы составляет мелодический оборот с широкой начальной интонацией и окончанием на слабой доле каждого такта.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Lacrimosa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написана в двухчастной репризной форме. Тема состоит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из двух повторяющихся мотивов и одного построения большого дыхания, характеризуемого непреклонным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движением вверх (у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сопрано от ре первой октавы до ля второй октавы), нарастанием динамики от </w:t>
      </w:r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</w:t>
      </w:r>
      <w:r w:rsidRPr="00B330DA">
        <w:rPr>
          <w:rFonts w:ascii="Times New Roman" w:hAnsi="Times New Roman" w:cs="Times New Roman"/>
          <w:sz w:val="28"/>
          <w:szCs w:val="28"/>
        </w:rPr>
        <w:t xml:space="preserve">к </w:t>
      </w:r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f</w:t>
      </w:r>
      <w:r w:rsidRPr="00B330DA">
        <w:rPr>
          <w:rFonts w:ascii="Times New Roman" w:hAnsi="Times New Roman" w:cs="Times New Roman"/>
          <w:sz w:val="28"/>
          <w:szCs w:val="28"/>
        </w:rPr>
        <w:t xml:space="preserve">. В целом эти четыре такта создают как бы одну волну огромного эмоционального напряжения («Шествие на Голгофу»). Середина –наиболее проникновенный эпизод во всем номере. Мольба («пощади </w:t>
      </w:r>
      <w:proofErr w:type="spellStart"/>
      <w:proofErr w:type="gramStart"/>
      <w:r w:rsidRPr="00B330DA">
        <w:rPr>
          <w:rFonts w:ascii="Times New Roman" w:hAnsi="Times New Roman" w:cs="Times New Roman"/>
          <w:sz w:val="28"/>
          <w:szCs w:val="28"/>
        </w:rPr>
        <w:t>его,Боже</w:t>
      </w:r>
      <w:proofErr w:type="spellEnd"/>
      <w:proofErr w:type="gramEnd"/>
      <w:r w:rsidRPr="00B330DA">
        <w:rPr>
          <w:rFonts w:ascii="Times New Roman" w:hAnsi="Times New Roman" w:cs="Times New Roman"/>
          <w:sz w:val="28"/>
          <w:szCs w:val="28"/>
        </w:rPr>
        <w:t xml:space="preserve">») изумительно передана в музыке. Начинаясь собранным, компактно звучащим аккордом на </w:t>
      </w:r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</w:t>
      </w:r>
      <w:r w:rsidRPr="00B330DA">
        <w:rPr>
          <w:rFonts w:ascii="Times New Roman" w:hAnsi="Times New Roman" w:cs="Times New Roman"/>
          <w:sz w:val="28"/>
          <w:szCs w:val="28"/>
        </w:rPr>
        <w:t>в достаточно высокой тесситуре, особенно у мужских голосов крайние хоровые партии то расходятся, то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сближаются, образуя как бы волны-вздохи. В основе этой фразы лежит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перемещение уменьшенного септаккорда. После короткого оркестрового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эпизода наступает сокращенная реприза, в которой звучит уже не жалоба-мольба, а утверждение веры в жизнь. Драматическая напряженность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усиливается эпизодом имитационного характера. Жизнеутверждающий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характер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Lacrimosa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проявляется и в последнем, заключительном мажорном аккорде (Ре-мажор).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Ноstias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(Жертвы) – написан в двухчастной репризной форме с заключением. Первая часть изложена в гармоническом, чисто хоральном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складе, имеет просветленный, умиротворенный характер. Темп «Анданте», спокойное оркестровое вступление, светлый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Еs-dur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создают этот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образ. Этому способствуют ритмически ровные, размеренные аккорды,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исключительно плавное голосоведение, выразительная мелодия в звучании </w:t>
      </w:r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B330DA">
        <w:rPr>
          <w:rFonts w:ascii="Times New Roman" w:hAnsi="Times New Roman" w:cs="Times New Roman"/>
          <w:sz w:val="28"/>
          <w:szCs w:val="28"/>
        </w:rPr>
        <w:t xml:space="preserve">. Вторая часть по настроению контрастна первой. Спокойное течение мелодии прерывается резкими, полными трагизма возгласами в высокой тесситуре в звучании </w:t>
      </w:r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 </w:t>
      </w:r>
      <w:r w:rsidRPr="00B330DA">
        <w:rPr>
          <w:rFonts w:ascii="Times New Roman" w:hAnsi="Times New Roman" w:cs="Times New Roman"/>
          <w:sz w:val="28"/>
          <w:szCs w:val="28"/>
        </w:rPr>
        <w:t>и ответами (как эхо) в низкой тесситуре в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звучании </w:t>
      </w:r>
      <w:r w:rsidRPr="00B33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B330DA">
        <w:rPr>
          <w:rFonts w:ascii="Times New Roman" w:hAnsi="Times New Roman" w:cs="Times New Roman"/>
          <w:sz w:val="28"/>
          <w:szCs w:val="28"/>
        </w:rPr>
        <w:t>. Такой эмоциональный взрыв производит особенно сильное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впечатление благодаря сопоставлению одноименных ладов (В-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и b-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моll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). В репризе возвращается хоральное звучание, а заключение закрепляет состояние умиротворенности и покоя. В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Ноstias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 целиком используется фуга из предыдущего номера – «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Domine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esu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». Лаконизм темы,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энергичные вступления хоровых голосов, пунктирный ритм, упорное</w:t>
      </w:r>
      <w:r w:rsidR="00B330DA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повторение одного звука – все это придают звучанию волевой, настойчивый, мужественный характер. В экспозиции тема проходит во всех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голосах </w:t>
      </w:r>
      <w:proofErr w:type="gramStart"/>
      <w:r w:rsidRPr="00B330DA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B330DA">
        <w:rPr>
          <w:rFonts w:ascii="Times New Roman" w:hAnsi="Times New Roman" w:cs="Times New Roman"/>
          <w:sz w:val="28"/>
          <w:szCs w:val="28"/>
        </w:rPr>
        <w:t>. Средняя часть фуги начинается с изложения темы в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тональности параллельного мажора (В-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>) у теноров. Дальше тема разрабатывается имитационно во всех голосах и в разных тональностях,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секвенционное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движение. Выдержанный органный пункт на </w:t>
      </w:r>
      <w:proofErr w:type="gramStart"/>
      <w:r w:rsidRPr="00B330DA">
        <w:rPr>
          <w:rFonts w:ascii="Times New Roman" w:hAnsi="Times New Roman" w:cs="Times New Roman"/>
          <w:sz w:val="28"/>
          <w:szCs w:val="28"/>
        </w:rPr>
        <w:t xml:space="preserve">доминанте </w:t>
      </w:r>
      <w:r w:rsidR="00603750">
        <w:rPr>
          <w:rFonts w:ascii="Times New Roman" w:hAnsi="Times New Roman" w:cs="Times New Roman"/>
          <w:sz w:val="28"/>
          <w:szCs w:val="28"/>
        </w:rPr>
        <w:t xml:space="preserve"> о</w:t>
      </w:r>
      <w:r w:rsidRPr="00B330DA">
        <w:rPr>
          <w:rFonts w:ascii="Times New Roman" w:hAnsi="Times New Roman" w:cs="Times New Roman"/>
          <w:sz w:val="28"/>
          <w:szCs w:val="28"/>
        </w:rPr>
        <w:t>тносительно</w:t>
      </w:r>
      <w:proofErr w:type="gramEnd"/>
      <w:r w:rsidRPr="00B330DA">
        <w:rPr>
          <w:rFonts w:ascii="Times New Roman" w:hAnsi="Times New Roman" w:cs="Times New Roman"/>
          <w:sz w:val="28"/>
          <w:szCs w:val="28"/>
        </w:rPr>
        <w:t xml:space="preserve"> устойчиво звучащего соль-минора готовит тональную репризу. Таким образом, здесь совмещены черты разработки и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репризы. Дальнейший тематический материал новый; очень выразительна напевная мелодия в верхнем голосе. Тема коды ритмически близка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основной теме своим волевым характером (широкие ходы голосов, высокая тесситура). По приемам полифонического изложения кода напоминает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шеститакт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эпизода разработки-репризы. Заключительный раздел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 xml:space="preserve">коды – гармонического </w:t>
      </w:r>
      <w:proofErr w:type="spellStart"/>
      <w:r w:rsidRPr="00B330DA">
        <w:rPr>
          <w:rFonts w:ascii="Times New Roman" w:hAnsi="Times New Roman" w:cs="Times New Roman"/>
          <w:sz w:val="28"/>
          <w:szCs w:val="28"/>
        </w:rPr>
        <w:t>каденционного</w:t>
      </w:r>
      <w:proofErr w:type="spellEnd"/>
      <w:r w:rsidRPr="00B330DA">
        <w:rPr>
          <w:rFonts w:ascii="Times New Roman" w:hAnsi="Times New Roman" w:cs="Times New Roman"/>
          <w:sz w:val="28"/>
          <w:szCs w:val="28"/>
        </w:rPr>
        <w:t xml:space="preserve"> плана, с выдержанной тоникой в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r w:rsidRPr="00B330DA">
        <w:rPr>
          <w:rFonts w:ascii="Times New Roman" w:hAnsi="Times New Roman" w:cs="Times New Roman"/>
          <w:sz w:val="28"/>
          <w:szCs w:val="28"/>
        </w:rPr>
        <w:t>верхнем голосе. Заканчивается номер в одноименном мажоре (Соль-мажор).</w:t>
      </w:r>
    </w:p>
    <w:p w:rsidR="0035436F" w:rsidRPr="00B330DA" w:rsidRDefault="0035436F" w:rsidP="00B330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30DA">
        <w:rPr>
          <w:rFonts w:ascii="Times New Roman" w:hAnsi="Times New Roman" w:cs="Times New Roman"/>
          <w:sz w:val="28"/>
          <w:szCs w:val="28"/>
        </w:rPr>
        <w:lastRenderedPageBreak/>
        <w:t>«Реквием» Моцарта отличается глубиной и многогранностью музыкальных образов, новой трактовкой традиционного жанра путем включения черт оперного стиля, использованием композиционных особенностей построения формы, интонационно-тематических и тональных связей между частями, новаторскими элементами музыкального языка. «Реквием» Моцарта имеет выдающееся художественное значение в мировой</w:t>
      </w:r>
      <w:r w:rsidR="006037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330DA">
        <w:rPr>
          <w:rFonts w:ascii="Times New Roman" w:hAnsi="Times New Roman" w:cs="Times New Roman"/>
          <w:sz w:val="28"/>
          <w:szCs w:val="28"/>
        </w:rPr>
        <w:t>культуре.</w:t>
      </w:r>
    </w:p>
    <w:p w:rsidR="00F162EA" w:rsidRPr="00B330DA" w:rsidRDefault="00F162EA" w:rsidP="00B330D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F162EA" w:rsidRPr="00B3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6F"/>
    <w:rsid w:val="0035436F"/>
    <w:rsid w:val="00603750"/>
    <w:rsid w:val="00B330DA"/>
    <w:rsid w:val="00F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5E83"/>
  <w15:chartTrackingRefBased/>
  <w15:docId w15:val="{C603FA42-AF70-4443-A85A-5D22A6A9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2</cp:revision>
  <dcterms:created xsi:type="dcterms:W3CDTF">2020-11-07T04:34:00Z</dcterms:created>
  <dcterms:modified xsi:type="dcterms:W3CDTF">2020-11-07T04:46:00Z</dcterms:modified>
</cp:coreProperties>
</file>