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1" w:rsidRDefault="00DD2CD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3D07F1">
        <w:rPr>
          <w:sz w:val="28"/>
          <w:szCs w:val="28"/>
          <w:lang w:val="en-US"/>
        </w:rPr>
        <w:t>I</w:t>
      </w:r>
      <w:r w:rsidR="003D07F1" w:rsidRPr="003D07F1">
        <w:rPr>
          <w:sz w:val="28"/>
          <w:szCs w:val="28"/>
        </w:rPr>
        <w:t xml:space="preserve"> </w:t>
      </w:r>
      <w:r w:rsidR="00AC5D43">
        <w:rPr>
          <w:sz w:val="28"/>
          <w:szCs w:val="28"/>
        </w:rPr>
        <w:t xml:space="preserve">Всероссийском </w:t>
      </w:r>
      <w:r w:rsidR="00972237">
        <w:rPr>
          <w:sz w:val="28"/>
          <w:szCs w:val="28"/>
        </w:rPr>
        <w:t>конкурс</w:t>
      </w:r>
      <w:r w:rsidR="00D50AD0">
        <w:rPr>
          <w:sz w:val="28"/>
          <w:szCs w:val="28"/>
        </w:rPr>
        <w:t>е</w:t>
      </w:r>
      <w:r w:rsidR="003D07F1" w:rsidRPr="003D07F1">
        <w:rPr>
          <w:sz w:val="28"/>
          <w:szCs w:val="28"/>
        </w:rPr>
        <w:t xml:space="preserve"> </w:t>
      </w:r>
      <w:r w:rsidR="003D07F1">
        <w:rPr>
          <w:sz w:val="28"/>
          <w:szCs w:val="28"/>
        </w:rPr>
        <w:t>патриотической песни</w:t>
      </w:r>
    </w:p>
    <w:p w:rsidR="00AC5D43" w:rsidRDefault="00D50AD0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2237">
        <w:rPr>
          <w:sz w:val="28"/>
          <w:szCs w:val="28"/>
        </w:rPr>
        <w:t>«Мы</w:t>
      </w:r>
      <w:r w:rsidR="00D867CB">
        <w:rPr>
          <w:sz w:val="28"/>
          <w:szCs w:val="28"/>
        </w:rPr>
        <w:t xml:space="preserve"> о Родине</w:t>
      </w:r>
      <w:r w:rsidR="00972237">
        <w:rPr>
          <w:sz w:val="28"/>
          <w:szCs w:val="28"/>
        </w:rPr>
        <w:t xml:space="preserve"> поем</w:t>
      </w:r>
      <w:r w:rsidR="00DD2CDC" w:rsidRPr="00042851">
        <w:rPr>
          <w:sz w:val="28"/>
          <w:szCs w:val="28"/>
        </w:rPr>
        <w:t xml:space="preserve">» </w:t>
      </w:r>
      <w:r w:rsidR="00AC5D43">
        <w:rPr>
          <w:sz w:val="28"/>
          <w:szCs w:val="28"/>
        </w:rPr>
        <w:t xml:space="preserve"> </w:t>
      </w:r>
    </w:p>
    <w:p w:rsidR="00D867CB" w:rsidRDefault="005A2778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>г.</w:t>
      </w:r>
      <w:r w:rsidR="00D50AD0">
        <w:rPr>
          <w:sz w:val="28"/>
          <w:szCs w:val="28"/>
        </w:rPr>
        <w:t xml:space="preserve"> </w:t>
      </w:r>
      <w:r w:rsidR="009B0FB8">
        <w:rPr>
          <w:sz w:val="28"/>
          <w:szCs w:val="28"/>
        </w:rPr>
        <w:t>Е</w:t>
      </w:r>
      <w:r w:rsidR="00D867CB">
        <w:rPr>
          <w:sz w:val="28"/>
          <w:szCs w:val="28"/>
        </w:rPr>
        <w:t>катеринбург</w:t>
      </w:r>
    </w:p>
    <w:p w:rsidR="00DD2CDC" w:rsidRDefault="00AC5D43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DD2CDC"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D867CB" w:rsidRDefault="00CF01BF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патриотической песни 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56B" w:rsidRDefault="0058056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 2022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форма, 21.05.2022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заочная форма.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Региональная общественная организация «Музыкальное общество Свердловской области» Всероссийского музыкального общества. </w:t>
      </w:r>
    </w:p>
    <w:p w:rsidR="00DF2749" w:rsidRPr="00E92720" w:rsidRDefault="00FF603F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Региональная общественная организация</w:t>
      </w:r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 «Ассоциация детских и юношески</w:t>
      </w:r>
      <w:r w:rsidR="0026052D">
        <w:rPr>
          <w:rFonts w:ascii="Times New Roman" w:hAnsi="Times New Roman" w:cs="Times New Roman"/>
          <w:sz w:val="28"/>
          <w:szCs w:val="28"/>
          <w:lang w:eastAsia="ru-RU"/>
        </w:rPr>
        <w:t>х хоров</w:t>
      </w:r>
      <w:bookmarkStart w:id="0" w:name="_GoBack"/>
      <w:bookmarkEnd w:id="0"/>
      <w:r w:rsidR="006A2E4D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F947A5" w:rsidRPr="00E92720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947A5" w:rsidRPr="0015730E" w:rsidRDefault="00042851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2.5.Расширение творческих контактов и создание условий по обмену          опытом между хоровыми коллективами и их руководителями.</w:t>
      </w:r>
    </w:p>
    <w:p w:rsidR="00FF603F" w:rsidRPr="00E92720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2.6.Сохранение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А: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А2.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А4.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А6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В: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В2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В4</w:t>
      </w:r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В6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С: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С2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С4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С6.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P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С7.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693926" w:rsidRPr="00E569CE" w:rsidRDefault="00693926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клип</w:t>
      </w:r>
      <w:r w:rsidR="00E569CE"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72420D" w:rsidRDefault="00394EBB" w:rsidP="00394EBB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до 5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8-10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11-14 лет на дату проведения Конкурса)</w:t>
      </w:r>
    </w:p>
    <w:p w:rsidR="00693926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старше 15 лет на дату проведения Конкурса)</w:t>
      </w:r>
    </w:p>
    <w:p w:rsidR="00EC1F84" w:rsidRPr="00394EBB" w:rsidRDefault="00EC1F84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Художественное слово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394EBB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Е1.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 на дату проведения Конкурса</w:t>
      </w:r>
    </w:p>
    <w:p w:rsidR="00EC1F84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1F84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6-7 л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Pr="0072420D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8-10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11-14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 дату проведения Конкурса</w:t>
      </w:r>
    </w:p>
    <w:p w:rsidR="00394EBB" w:rsidRPr="00394EBB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</w:p>
    <w:p w:rsidR="00EC1F84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P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0855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одно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ответствующее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3 дня до 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9" w:history="1">
        <w:r w:rsidR="00693926" w:rsidRPr="001F6BF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693926" w:rsidRPr="001F6BF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693926" w:rsidRPr="001F6BF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693926" w:rsidRPr="001F6BF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93926" w:rsidRPr="001F6BF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•навыки пения в ансамбле (для номинаций А и С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3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EC1F84" w:rsidRDefault="00693926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Требования к конкурсной номинации 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</w:p>
    <w:p w:rsidR="00693926" w:rsidRPr="00394EBB" w:rsidRDefault="005976A7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должно состоять из песни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(соответствующей тематике конкурса или по выбору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солиста или ансамбля и  включать анимацию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Запись необходимо сделать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необходимо выслать на почту </w:t>
      </w:r>
      <w:hyperlink r:id="rId10" w:history="1"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Pr="00EC1F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EC1F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E569CE" w:rsidRPr="00F16B34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tabs>
          <w:tab w:val="left" w:pos="709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оригинальность идеи;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творческий подход;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тематике и номинации;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художественный замысел и мастерство;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эстетика.</w:t>
      </w:r>
    </w:p>
    <w:p w:rsidR="00200C22" w:rsidRDefault="00200C22" w:rsidP="00200C22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Требования к конкурсной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:rsidR="00200C22" w:rsidRPr="00763E3B" w:rsidRDefault="006A7B1E" w:rsidP="00763E3B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одно произведение  (стихотворение или проза)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B34" w:rsidRP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тематике конкурса или по выбору руководителя.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должно быть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прочитано наизусть.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EBB" w:rsidRPr="00E569CE" w:rsidRDefault="00200C22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выслать на почту </w:t>
      </w:r>
      <w:hyperlink r:id="rId11" w:history="1"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Pr="00EC1F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EC1F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F5E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F16B34" w:rsidRPr="00F16B34" w:rsidRDefault="00E569CE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исполнительское мастерство; артистизм;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средств выразительного чтения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для реализации  художественного замысла автора       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(логическое ударение, интонация, темп);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исполняемого материала возрасту 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индивидуальности конкурсанта.</w:t>
      </w:r>
    </w:p>
    <w:p w:rsidR="00E569CE" w:rsidRPr="00FF603F" w:rsidRDefault="00E569C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E569CE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конкурса учреждаются дипломы. Участники конкурса, занявшие 1, 2 и 3 места, награждаются дипломами Лауреата 1, 2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C5D43" w:rsidRPr="00EC1F84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в период с </w:t>
      </w:r>
      <w:r w:rsidR="00AC5D43" w:rsidRP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AC5D43" w:rsidRP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AC5D43" w:rsidRP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AC5D43" w:rsidRP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D1365D" w:rsidRDefault="00D1365D" w:rsidP="00D1365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E4D" w:rsidRDefault="006A2E4D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онлайн конкурса высылается скан диплома в электронном варианте. Формат проведения конкурса в дипломе не указывается.</w:t>
      </w:r>
    </w:p>
    <w:p w:rsidR="00D1365D" w:rsidRPr="00042851" w:rsidRDefault="00D1365D" w:rsidP="006A2E4D">
      <w:pPr>
        <w:spacing w:after="0" w:line="360" w:lineRule="auto"/>
        <w:ind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DF2749" w:rsidRPr="00FF603F" w:rsidRDefault="00D1365D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202</w:t>
      </w:r>
      <w:r w:rsidR="00AC5D43" w:rsidRP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>рса в очной форме) и 17 мая 202</w:t>
      </w:r>
      <w:r w:rsidR="00310712" w:rsidRP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(для участников к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в заочной форме)</w:t>
      </w:r>
    </w:p>
    <w:p w:rsidR="00763E3B" w:rsidRPr="00FF603F" w:rsidRDefault="00763E3B" w:rsidP="00763E3B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965" w:rsidRDefault="00D1365D" w:rsidP="00805965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з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 (по видеозаписям).</w:t>
      </w:r>
      <w:r w:rsidR="0031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мая 202</w:t>
      </w:r>
      <w:r w:rsidR="00310712" w:rsidRP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2" w:history="1"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05965" w:rsidRPr="00EB1A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указать форму участия: очно или заочно.</w:t>
      </w:r>
    </w:p>
    <w:p w:rsidR="00D1365D" w:rsidRPr="00451A27" w:rsidRDefault="00451A27" w:rsidP="00E82697">
      <w:pPr>
        <w:spacing w:after="0" w:line="360" w:lineRule="auto"/>
        <w:ind w:left="40" w:right="2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конкурсного выступления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видеоматериалы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выступлением 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удобном для вас хранилище</w:t>
      </w: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A27" w:rsidRPr="00451A27" w:rsidRDefault="00451A27" w:rsidP="00451A2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451A27" w:rsidRPr="00451A27" w:rsidRDefault="00451A27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200C22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3D07F1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А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1F19F6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В</w:t>
            </w:r>
            <w:r w:rsidR="003D0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(соло)</w:t>
            </w:r>
          </w:p>
        </w:tc>
        <w:tc>
          <w:tcPr>
            <w:tcW w:w="3190" w:type="dxa"/>
          </w:tcPr>
          <w:p w:rsidR="001F19F6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1F19F6"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С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FA2940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С (8-12 чел</w:t>
            </w:r>
            <w:r w:rsidR="00F947A5"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A2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3D07F1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E92720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833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92720" w:rsidRPr="00720CCD" w:rsidTr="00975177">
        <w:tc>
          <w:tcPr>
            <w:tcW w:w="3190" w:type="dxa"/>
          </w:tcPr>
          <w:p w:rsidR="00E92720" w:rsidRPr="00B9656E" w:rsidRDefault="00E92720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(соло)</w:t>
            </w:r>
          </w:p>
        </w:tc>
        <w:tc>
          <w:tcPr>
            <w:tcW w:w="3190" w:type="dxa"/>
          </w:tcPr>
          <w:p w:rsidR="00E92720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(ансамбль)</w:t>
            </w:r>
          </w:p>
        </w:tc>
        <w:tc>
          <w:tcPr>
            <w:tcW w:w="3190" w:type="dxa"/>
          </w:tcPr>
          <w:p w:rsidR="00B9656E" w:rsidRDefault="003D07F1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B96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B9656E" w:rsidRPr="00720CCD" w:rsidTr="00975177">
        <w:tc>
          <w:tcPr>
            <w:tcW w:w="3190" w:type="dxa"/>
          </w:tcPr>
          <w:p w:rsidR="00B9656E" w:rsidRDefault="00B9656E"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(хор</w:t>
            </w:r>
            <w:r w:rsidRPr="00465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B9656E" w:rsidRDefault="003D07F1" w:rsidP="00B965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B9656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  <w:p w:rsidR="00B9656E" w:rsidRDefault="00B9656E" w:rsidP="00B9656E">
            <w:pPr>
              <w:jc w:val="center"/>
            </w:pP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ГБПОУ СО «СМХК»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Адрес: 620014, г. Екатеринбург, пр. Ленина, 13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Тел/факс: (343)371-33-31, 371-43-41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E-</w:t>
      </w:r>
      <w:proofErr w:type="spellStart"/>
      <w:r w:rsidRPr="00E92720">
        <w:rPr>
          <w:rFonts w:ascii="Times New Roman" w:hAnsi="Times New Roman" w:cs="Times New Roman"/>
          <w:b/>
        </w:rPr>
        <w:t>mail</w:t>
      </w:r>
      <w:proofErr w:type="spellEnd"/>
      <w:r w:rsidRPr="00E92720">
        <w:rPr>
          <w:rFonts w:ascii="Times New Roman" w:hAnsi="Times New Roman" w:cs="Times New Roman"/>
          <w:b/>
        </w:rPr>
        <w:t>: cmhk@yandex.ru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ИНН/КПП 6661010552/665801001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Банковские реквизиты: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Получатель: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Министерство финансов Свердловской области (ГБПОУ СО «СМХК»,  л\с 23014905020)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к\с 40102810645370000054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казначейский счет 03224643650000006200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t>Уральское ГУ Банка России// УФК по Свердловской области г. Екатеринбург</w:t>
      </w:r>
    </w:p>
    <w:p w:rsidR="00D1365D" w:rsidRPr="00E92720" w:rsidRDefault="00D1365D" w:rsidP="00D1365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2720">
        <w:rPr>
          <w:rFonts w:ascii="Times New Roman" w:hAnsi="Times New Roman" w:cs="Times New Roman"/>
          <w:b/>
        </w:rPr>
        <w:lastRenderedPageBreak/>
        <w:t>БИК 016577551 ОГРН 1037700013020</w:t>
      </w:r>
    </w:p>
    <w:p w:rsidR="00D1365D" w:rsidRDefault="00D1365D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8E48E0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8E48E0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56E" w:rsidRPr="00B9656E" w:rsidRDefault="00FF603F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FF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spellStart"/>
      <w:r w:rsidRPr="00FF60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manazipova</w:t>
      </w:r>
      <w:proofErr w:type="spellEnd"/>
      <w:r w:rsidRPr="00FF60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proofErr w:type="spellStart"/>
      <w:r w:rsidRPr="00FF60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gmail</w:t>
      </w:r>
      <w:proofErr w:type="spellEnd"/>
      <w:r w:rsidRPr="00FF60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F60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com</w:t>
      </w:r>
      <w:r w:rsidR="00AA460D" w:rsidRPr="00FF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AA460D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Цыганова Юл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Игоревна</w:t>
      </w:r>
      <w:r w:rsidR="00B9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(тел. 89058086762),</w:t>
      </w:r>
    </w:p>
    <w:p w:rsidR="00B9656E" w:rsidRDefault="006A2E4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Андронов Виктор Георгиевич (тел. </w:t>
      </w:r>
      <w:r w:rsidR="00B9656E">
        <w:rPr>
          <w:rFonts w:ascii="Times New Roman" w:eastAsia="Times New Roman" w:hAnsi="Times New Roman" w:cs="Times New Roman"/>
          <w:sz w:val="28"/>
          <w:szCs w:val="28"/>
          <w:lang w:eastAsia="ru-RU"/>
        </w:rPr>
        <w:t>89826344031),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60D" w:rsidRPr="00763E3B" w:rsidRDefault="006A2E4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Pr="00763E3B" w:rsidRDefault="00AA460D" w:rsidP="00763E3B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3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CE" w:rsidRDefault="000063CE" w:rsidP="00FF603F">
      <w:pPr>
        <w:spacing w:after="0" w:line="240" w:lineRule="auto"/>
      </w:pPr>
      <w:r>
        <w:separator/>
      </w:r>
    </w:p>
  </w:endnote>
  <w:endnote w:type="continuationSeparator" w:id="0">
    <w:p w:rsidR="000063CE" w:rsidRDefault="000063CE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52D">
          <w:rPr>
            <w:noProof/>
          </w:rPr>
          <w:t>1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CE" w:rsidRDefault="000063CE" w:rsidP="00FF603F">
      <w:pPr>
        <w:spacing w:after="0" w:line="240" w:lineRule="auto"/>
      </w:pPr>
      <w:r>
        <w:separator/>
      </w:r>
    </w:p>
  </w:footnote>
  <w:footnote w:type="continuationSeparator" w:id="0">
    <w:p w:rsidR="000063CE" w:rsidRDefault="000063CE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7492E"/>
    <w:rsid w:val="0015730E"/>
    <w:rsid w:val="001F19F6"/>
    <w:rsid w:val="00200C22"/>
    <w:rsid w:val="0021138C"/>
    <w:rsid w:val="0026052D"/>
    <w:rsid w:val="00310712"/>
    <w:rsid w:val="0031355F"/>
    <w:rsid w:val="003570E2"/>
    <w:rsid w:val="00394EBB"/>
    <w:rsid w:val="003B25C8"/>
    <w:rsid w:val="003D07F1"/>
    <w:rsid w:val="00413387"/>
    <w:rsid w:val="00427ED2"/>
    <w:rsid w:val="00440A50"/>
    <w:rsid w:val="00451A27"/>
    <w:rsid w:val="00476609"/>
    <w:rsid w:val="004A11D8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93926"/>
    <w:rsid w:val="006A2E4D"/>
    <w:rsid w:val="006A7B1E"/>
    <w:rsid w:val="006F654F"/>
    <w:rsid w:val="00720CCD"/>
    <w:rsid w:val="0072420D"/>
    <w:rsid w:val="00763E3B"/>
    <w:rsid w:val="00795369"/>
    <w:rsid w:val="007B4309"/>
    <w:rsid w:val="007C1074"/>
    <w:rsid w:val="00805965"/>
    <w:rsid w:val="0083343F"/>
    <w:rsid w:val="00847F99"/>
    <w:rsid w:val="008E48E0"/>
    <w:rsid w:val="00972237"/>
    <w:rsid w:val="009B0FB8"/>
    <w:rsid w:val="009F7CC5"/>
    <w:rsid w:val="00A07115"/>
    <w:rsid w:val="00A0747E"/>
    <w:rsid w:val="00AA460D"/>
    <w:rsid w:val="00AC5D43"/>
    <w:rsid w:val="00B4091D"/>
    <w:rsid w:val="00B57DB4"/>
    <w:rsid w:val="00B64F90"/>
    <w:rsid w:val="00B95CE9"/>
    <w:rsid w:val="00B9656E"/>
    <w:rsid w:val="00C3196D"/>
    <w:rsid w:val="00C406F3"/>
    <w:rsid w:val="00C744C2"/>
    <w:rsid w:val="00C85B51"/>
    <w:rsid w:val="00CB480C"/>
    <w:rsid w:val="00CF01BF"/>
    <w:rsid w:val="00D1365D"/>
    <w:rsid w:val="00D50AD0"/>
    <w:rsid w:val="00D5402F"/>
    <w:rsid w:val="00D867CB"/>
    <w:rsid w:val="00D959B6"/>
    <w:rsid w:val="00DA078C"/>
    <w:rsid w:val="00DC0F16"/>
    <w:rsid w:val="00DD2CDC"/>
    <w:rsid w:val="00DF1AF3"/>
    <w:rsid w:val="00DF2749"/>
    <w:rsid w:val="00E2171A"/>
    <w:rsid w:val="00E55B86"/>
    <w:rsid w:val="00E569CE"/>
    <w:rsid w:val="00E65305"/>
    <w:rsid w:val="00E82697"/>
    <w:rsid w:val="00E833B6"/>
    <w:rsid w:val="00E92720"/>
    <w:rsid w:val="00EB1659"/>
    <w:rsid w:val="00EC1F84"/>
    <w:rsid w:val="00F16B34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nazip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azipov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nazipov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azipo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7520-985B-4E4A-B481-21396FDD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48</cp:revision>
  <cp:lastPrinted>2016-12-28T06:45:00Z</cp:lastPrinted>
  <dcterms:created xsi:type="dcterms:W3CDTF">2016-11-20T11:25:00Z</dcterms:created>
  <dcterms:modified xsi:type="dcterms:W3CDTF">2022-03-25T06:12:00Z</dcterms:modified>
</cp:coreProperties>
</file>